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t>Mortgage-Based Securities</w:t>
      </w: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t>Student’s Name</w:t>
      </w: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t>Institution</w:t>
      </w: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t>Course</w:t>
      </w: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t>Professor’s Name</w:t>
      </w: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t>Date</w:t>
      </w: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0335F7" w:rsidP="000B6580">
      <w:pPr>
        <w:spacing w:line="480" w:lineRule="auto"/>
        <w:ind w:firstLine="720"/>
        <w:jc w:val="center"/>
        <w:rPr>
          <w:rFonts w:ascii="Times New Roman" w:hAnsi="Times New Roman" w:cs="Times New Roman"/>
          <w:sz w:val="24"/>
          <w:szCs w:val="24"/>
        </w:rPr>
      </w:pPr>
    </w:p>
    <w:p w:rsidR="000335F7"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lastRenderedPageBreak/>
        <w:t>Mortgage-Based Securities</w:t>
      </w:r>
    </w:p>
    <w:p w:rsidR="000335F7" w:rsidRPr="000B6580" w:rsidRDefault="003D0FE2" w:rsidP="000B6580">
      <w:pPr>
        <w:spacing w:line="480" w:lineRule="auto"/>
        <w:ind w:firstLine="720"/>
        <w:rPr>
          <w:rFonts w:ascii="Times New Roman" w:hAnsi="Times New Roman" w:cs="Times New Roman"/>
          <w:sz w:val="24"/>
          <w:szCs w:val="24"/>
        </w:rPr>
      </w:pPr>
      <w:r w:rsidRPr="000B6580">
        <w:rPr>
          <w:rFonts w:ascii="Times New Roman" w:hAnsi="Times New Roman" w:cs="Times New Roman"/>
          <w:sz w:val="24"/>
          <w:szCs w:val="24"/>
        </w:rPr>
        <w:t>Before the 21</w:t>
      </w:r>
      <w:r w:rsidRPr="000B6580">
        <w:rPr>
          <w:rFonts w:ascii="Times New Roman" w:hAnsi="Times New Roman" w:cs="Times New Roman"/>
          <w:sz w:val="24"/>
          <w:szCs w:val="24"/>
          <w:vertAlign w:val="superscript"/>
        </w:rPr>
        <w:t>st</w:t>
      </w:r>
      <w:r w:rsidRPr="000B6580">
        <w:rPr>
          <w:rFonts w:ascii="Times New Roman" w:hAnsi="Times New Roman" w:cs="Times New Roman"/>
          <w:sz w:val="24"/>
          <w:szCs w:val="24"/>
        </w:rPr>
        <w:t xml:space="preserve"> century, due diligence was a requirement for any bank before extending a mortgage to a borrower. However, this changed when mortgage-backed securities</w:t>
      </w:r>
      <w:r w:rsidR="00AE17DF" w:rsidRPr="000B6580">
        <w:rPr>
          <w:rFonts w:ascii="Times New Roman" w:hAnsi="Times New Roman" w:cs="Times New Roman"/>
          <w:sz w:val="24"/>
          <w:szCs w:val="24"/>
        </w:rPr>
        <w:t xml:space="preserve"> (MBSs)</w:t>
      </w:r>
      <w:r w:rsidRPr="000B6580">
        <w:rPr>
          <w:rFonts w:ascii="Times New Roman" w:hAnsi="Times New Roman" w:cs="Times New Roman"/>
          <w:sz w:val="24"/>
          <w:szCs w:val="24"/>
        </w:rPr>
        <w:t xml:space="preserve"> were </w:t>
      </w:r>
      <w:r w:rsidR="00AE17DF" w:rsidRPr="000B6580">
        <w:rPr>
          <w:rFonts w:ascii="Times New Roman" w:hAnsi="Times New Roman" w:cs="Times New Roman"/>
          <w:sz w:val="24"/>
          <w:szCs w:val="24"/>
        </w:rPr>
        <w:t>introduced</w:t>
      </w:r>
      <w:r w:rsidR="00AF691C" w:rsidRPr="000B6580">
        <w:rPr>
          <w:rFonts w:ascii="Times New Roman" w:hAnsi="Times New Roman" w:cs="Times New Roman"/>
          <w:sz w:val="24"/>
          <w:szCs w:val="24"/>
        </w:rPr>
        <w:t xml:space="preserve"> (</w:t>
      </w:r>
      <w:r w:rsidR="00AF691C" w:rsidRPr="000B6580">
        <w:rPr>
          <w:rFonts w:ascii="Times New Roman" w:hAnsi="Times New Roman" w:cs="Times New Roman"/>
          <w:color w:val="222222"/>
          <w:sz w:val="24"/>
          <w:szCs w:val="24"/>
          <w:shd w:val="clear" w:color="auto" w:fill="FFFFFF"/>
        </w:rPr>
        <w:t>Vinokurova, 2018)</w:t>
      </w:r>
      <w:r w:rsidRPr="000B6580">
        <w:rPr>
          <w:rFonts w:ascii="Times New Roman" w:hAnsi="Times New Roman" w:cs="Times New Roman"/>
          <w:sz w:val="24"/>
          <w:szCs w:val="24"/>
        </w:rPr>
        <w:t>.</w:t>
      </w:r>
      <w:r w:rsidR="00AE17DF" w:rsidRPr="000B6580">
        <w:rPr>
          <w:rFonts w:ascii="Times New Roman" w:hAnsi="Times New Roman" w:cs="Times New Roman"/>
          <w:sz w:val="24"/>
          <w:szCs w:val="24"/>
        </w:rPr>
        <w:t xml:space="preserve"> Banks approached the previously shunned borrowers and lend them money. The reason was the booming housing market which had become highly profitable in the country. For instance, a house bought in 1996 at $155,000 could earn a profit of around $100000 in 2006, making investors put money into the sector. The people lacked information about the MBSs making borrowers pay </w:t>
      </w:r>
      <w:r w:rsidR="00AF691C" w:rsidRPr="000B6580">
        <w:rPr>
          <w:rFonts w:ascii="Times New Roman" w:hAnsi="Times New Roman" w:cs="Times New Roman"/>
          <w:sz w:val="24"/>
          <w:szCs w:val="24"/>
        </w:rPr>
        <w:t>doubled</w:t>
      </w:r>
      <w:r w:rsidR="00AE17DF" w:rsidRPr="000B6580">
        <w:rPr>
          <w:rFonts w:ascii="Times New Roman" w:hAnsi="Times New Roman" w:cs="Times New Roman"/>
          <w:sz w:val="24"/>
          <w:szCs w:val="24"/>
        </w:rPr>
        <w:t xml:space="preserve"> monthly installments after defaulting their payment plan.</w:t>
      </w:r>
    </w:p>
    <w:p w:rsidR="00AF691C" w:rsidRPr="000B6580" w:rsidRDefault="003D0FE2" w:rsidP="000B6580">
      <w:pPr>
        <w:spacing w:line="480" w:lineRule="auto"/>
        <w:ind w:firstLine="720"/>
        <w:rPr>
          <w:rFonts w:ascii="Times New Roman" w:hAnsi="Times New Roman" w:cs="Times New Roman"/>
          <w:sz w:val="24"/>
          <w:szCs w:val="24"/>
        </w:rPr>
      </w:pPr>
      <w:r w:rsidRPr="000B6580">
        <w:rPr>
          <w:rFonts w:ascii="Times New Roman" w:hAnsi="Times New Roman" w:cs="Times New Roman"/>
          <w:sz w:val="24"/>
          <w:szCs w:val="24"/>
        </w:rPr>
        <w:t>The miseries associated with the MBSs were triggered by the shift in the demand for housing in 2008 (</w:t>
      </w:r>
      <w:r w:rsidRPr="000B6580">
        <w:rPr>
          <w:rFonts w:ascii="Times New Roman" w:hAnsi="Times New Roman" w:cs="Times New Roman"/>
          <w:color w:val="222222"/>
          <w:sz w:val="24"/>
          <w:szCs w:val="24"/>
          <w:shd w:val="clear" w:color="auto" w:fill="FFFFFF"/>
        </w:rPr>
        <w:t>Vinokurova, 2018)</w:t>
      </w:r>
      <w:r w:rsidRPr="000B6580">
        <w:rPr>
          <w:rFonts w:ascii="Times New Roman" w:hAnsi="Times New Roman" w:cs="Times New Roman"/>
          <w:sz w:val="24"/>
          <w:szCs w:val="24"/>
        </w:rPr>
        <w:t>. The originally booming housing market was no longer booming. Now, because banks had extended no document loans to many borrowers, the number of defaulters skyrocketed, causing losses to the investors. The unstable mortgages extended to low credit-rated customers were called the adjustable-rate mortgages (ARMs). The banks had adopted the less monitored loans because MBSs introduction implied that banks would no longer assume the loan default risks. They issued the loans and sold them to others who would take the risk if payments stopped.</w:t>
      </w:r>
    </w:p>
    <w:p w:rsidR="00AF691C" w:rsidRPr="000B6580" w:rsidRDefault="003D0FE2" w:rsidP="000B6580">
      <w:pPr>
        <w:spacing w:line="480" w:lineRule="auto"/>
        <w:ind w:firstLine="720"/>
        <w:rPr>
          <w:rFonts w:ascii="Times New Roman" w:hAnsi="Times New Roman" w:cs="Times New Roman"/>
          <w:sz w:val="24"/>
          <w:szCs w:val="24"/>
        </w:rPr>
      </w:pPr>
      <w:r w:rsidRPr="000B6580">
        <w:rPr>
          <w:rFonts w:ascii="Times New Roman" w:hAnsi="Times New Roman" w:cs="Times New Roman"/>
          <w:sz w:val="24"/>
          <w:szCs w:val="24"/>
        </w:rPr>
        <w:br w:type="page"/>
      </w:r>
    </w:p>
    <w:p w:rsidR="00AE17DF" w:rsidRPr="000B6580" w:rsidRDefault="003D0FE2" w:rsidP="000B6580">
      <w:pPr>
        <w:spacing w:line="480" w:lineRule="auto"/>
        <w:ind w:firstLine="720"/>
        <w:jc w:val="center"/>
        <w:rPr>
          <w:rFonts w:ascii="Times New Roman" w:hAnsi="Times New Roman" w:cs="Times New Roman"/>
          <w:sz w:val="24"/>
          <w:szCs w:val="24"/>
        </w:rPr>
      </w:pPr>
      <w:r w:rsidRPr="000B6580">
        <w:rPr>
          <w:rFonts w:ascii="Times New Roman" w:hAnsi="Times New Roman" w:cs="Times New Roman"/>
          <w:sz w:val="24"/>
          <w:szCs w:val="24"/>
        </w:rPr>
        <w:lastRenderedPageBreak/>
        <w:t>References</w:t>
      </w:r>
    </w:p>
    <w:p w:rsidR="00AF691C" w:rsidRPr="000B6580" w:rsidRDefault="003D0FE2" w:rsidP="000B6580">
      <w:pPr>
        <w:spacing w:line="480" w:lineRule="auto"/>
        <w:ind w:left="720" w:hanging="720"/>
        <w:rPr>
          <w:rFonts w:ascii="Times New Roman" w:hAnsi="Times New Roman" w:cs="Times New Roman"/>
          <w:sz w:val="24"/>
          <w:szCs w:val="24"/>
        </w:rPr>
      </w:pPr>
      <w:r w:rsidRPr="000B6580">
        <w:rPr>
          <w:rFonts w:ascii="Times New Roman" w:hAnsi="Times New Roman" w:cs="Times New Roman"/>
          <w:color w:val="222222"/>
          <w:sz w:val="24"/>
          <w:szCs w:val="24"/>
          <w:shd w:val="clear" w:color="auto" w:fill="FFFFFF"/>
        </w:rPr>
        <w:t>Vinokurova, N. (2018). How mortgage-backed securities became bonds: The emergence, evolution, and acceptance of mortgage-backed securities in the United States, 1960–1987. </w:t>
      </w:r>
      <w:r w:rsidRPr="000B6580">
        <w:rPr>
          <w:rFonts w:ascii="Times New Roman" w:hAnsi="Times New Roman" w:cs="Times New Roman"/>
          <w:i/>
          <w:iCs/>
          <w:color w:val="222222"/>
          <w:sz w:val="24"/>
          <w:szCs w:val="24"/>
          <w:shd w:val="clear" w:color="auto" w:fill="FFFFFF"/>
        </w:rPr>
        <w:t>Enterprise &amp; Society</w:t>
      </w:r>
      <w:r w:rsidRPr="000B6580">
        <w:rPr>
          <w:rFonts w:ascii="Times New Roman" w:hAnsi="Times New Roman" w:cs="Times New Roman"/>
          <w:color w:val="222222"/>
          <w:sz w:val="24"/>
          <w:szCs w:val="24"/>
          <w:shd w:val="clear" w:color="auto" w:fill="FFFFFF"/>
        </w:rPr>
        <w:t>, </w:t>
      </w:r>
      <w:r w:rsidRPr="000B6580">
        <w:rPr>
          <w:rFonts w:ascii="Times New Roman" w:hAnsi="Times New Roman" w:cs="Times New Roman"/>
          <w:i/>
          <w:iCs/>
          <w:color w:val="222222"/>
          <w:sz w:val="24"/>
          <w:szCs w:val="24"/>
          <w:shd w:val="clear" w:color="auto" w:fill="FFFFFF"/>
        </w:rPr>
        <w:t>19</w:t>
      </w:r>
      <w:r w:rsidRPr="000B6580">
        <w:rPr>
          <w:rFonts w:ascii="Times New Roman" w:hAnsi="Times New Roman" w:cs="Times New Roman"/>
          <w:color w:val="222222"/>
          <w:sz w:val="24"/>
          <w:szCs w:val="24"/>
          <w:shd w:val="clear" w:color="auto" w:fill="FFFFFF"/>
        </w:rPr>
        <w:t>(3), 610-660.</w:t>
      </w:r>
    </w:p>
    <w:sectPr w:rsidR="00AF691C" w:rsidRPr="000B6580" w:rsidSect="001C617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B53" w:rsidRDefault="00D83B53">
      <w:pPr>
        <w:spacing w:after="0" w:line="240" w:lineRule="auto"/>
      </w:pPr>
      <w:r>
        <w:separator/>
      </w:r>
    </w:p>
  </w:endnote>
  <w:endnote w:type="continuationSeparator" w:id="1">
    <w:p w:rsidR="00D83B53" w:rsidRDefault="00D83B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B53" w:rsidRDefault="00D83B53">
      <w:pPr>
        <w:spacing w:after="0" w:line="240" w:lineRule="auto"/>
      </w:pPr>
      <w:r>
        <w:separator/>
      </w:r>
    </w:p>
  </w:footnote>
  <w:footnote w:type="continuationSeparator" w:id="1">
    <w:p w:rsidR="00D83B53" w:rsidRDefault="00D83B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83256874"/>
      <w:docPartObj>
        <w:docPartGallery w:val="Page Numbers (Top of Page)"/>
        <w:docPartUnique/>
      </w:docPartObj>
    </w:sdtPr>
    <w:sdtEndPr>
      <w:rPr>
        <w:noProof/>
      </w:rPr>
    </w:sdtEndPr>
    <w:sdtContent>
      <w:p w:rsidR="000335F7" w:rsidRPr="000335F7" w:rsidRDefault="001C6179">
        <w:pPr>
          <w:pStyle w:val="Header"/>
          <w:jc w:val="right"/>
          <w:rPr>
            <w:rFonts w:ascii="Times New Roman" w:hAnsi="Times New Roman" w:cs="Times New Roman"/>
            <w:sz w:val="24"/>
            <w:szCs w:val="24"/>
          </w:rPr>
        </w:pPr>
        <w:r w:rsidRPr="000335F7">
          <w:rPr>
            <w:rFonts w:ascii="Times New Roman" w:hAnsi="Times New Roman" w:cs="Times New Roman"/>
            <w:sz w:val="24"/>
            <w:szCs w:val="24"/>
          </w:rPr>
          <w:fldChar w:fldCharType="begin"/>
        </w:r>
        <w:r w:rsidR="003D0FE2" w:rsidRPr="000335F7">
          <w:rPr>
            <w:rFonts w:ascii="Times New Roman" w:hAnsi="Times New Roman" w:cs="Times New Roman"/>
            <w:sz w:val="24"/>
            <w:szCs w:val="24"/>
          </w:rPr>
          <w:instrText xml:space="preserve"> PAGE   \* MERGEFORMAT </w:instrText>
        </w:r>
        <w:r w:rsidRPr="000335F7">
          <w:rPr>
            <w:rFonts w:ascii="Times New Roman" w:hAnsi="Times New Roman" w:cs="Times New Roman"/>
            <w:sz w:val="24"/>
            <w:szCs w:val="24"/>
          </w:rPr>
          <w:fldChar w:fldCharType="separate"/>
        </w:r>
        <w:r w:rsidR="00381381">
          <w:rPr>
            <w:rFonts w:ascii="Times New Roman" w:hAnsi="Times New Roman" w:cs="Times New Roman"/>
            <w:noProof/>
            <w:sz w:val="24"/>
            <w:szCs w:val="24"/>
          </w:rPr>
          <w:t>3</w:t>
        </w:r>
        <w:r w:rsidRPr="000335F7">
          <w:rPr>
            <w:rFonts w:ascii="Times New Roman" w:hAnsi="Times New Roman" w:cs="Times New Roman"/>
            <w:noProof/>
            <w:sz w:val="24"/>
            <w:szCs w:val="24"/>
          </w:rPr>
          <w:fldChar w:fldCharType="end"/>
        </w:r>
      </w:p>
    </w:sdtContent>
  </w:sdt>
  <w:p w:rsidR="000335F7" w:rsidRPr="000335F7" w:rsidRDefault="000335F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335F7"/>
    <w:rsid w:val="000335F7"/>
    <w:rsid w:val="00053E14"/>
    <w:rsid w:val="000B6580"/>
    <w:rsid w:val="001C5DE7"/>
    <w:rsid w:val="001C6179"/>
    <w:rsid w:val="00381381"/>
    <w:rsid w:val="003D0FE2"/>
    <w:rsid w:val="00AE17DF"/>
    <w:rsid w:val="00AF691C"/>
    <w:rsid w:val="00D56300"/>
    <w:rsid w:val="00D83B53"/>
    <w:rsid w:val="00DB52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1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3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5F7"/>
  </w:style>
  <w:style w:type="paragraph" w:styleId="Footer">
    <w:name w:val="footer"/>
    <w:basedOn w:val="Normal"/>
    <w:link w:val="FooterChar"/>
    <w:uiPriority w:val="99"/>
    <w:unhideWhenUsed/>
    <w:rsid w:val="00033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5F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2021-10-13T04:11:00Z</dcterms:created>
  <dcterms:modified xsi:type="dcterms:W3CDTF">2021-10-13T04:11:00Z</dcterms:modified>
</cp:coreProperties>
</file>